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39" w:rsidRDefault="00B32139" w:rsidP="00B32139">
      <w:pPr>
        <w:widowControl/>
        <w:tabs>
          <w:tab w:val="left" w:pos="2520"/>
        </w:tabs>
        <w:suppressAutoHyphens/>
        <w:ind w:firstLine="709"/>
        <w:jc w:val="center"/>
        <w:rPr>
          <w:rFonts w:ascii="Arial" w:eastAsia="Times New Roman" w:hAnsi="Arial" w:cs="Arial"/>
          <w:color w:val="auto"/>
          <w:szCs w:val="28"/>
          <w:lang w:bidi="ar-SA"/>
        </w:rPr>
      </w:pPr>
      <w:r w:rsidRPr="00B32139">
        <w:rPr>
          <w:rFonts w:ascii="Arial" w:eastAsia="Times New Roman" w:hAnsi="Arial" w:cs="Arial"/>
          <w:color w:val="auto"/>
          <w:szCs w:val="28"/>
          <w:lang w:bidi="ar-SA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8" o:title="" gain="1092267f" blacklevel="-5898f"/>
          </v:shape>
          <o:OLEObject Type="Embed" ProgID="Word.Picture.8" ShapeID="_x0000_i1025" DrawAspect="Content" ObjectID="_1796448429" r:id="rId9"/>
        </w:object>
      </w:r>
    </w:p>
    <w:p w:rsidR="00B32139" w:rsidRPr="00B32139" w:rsidRDefault="00B32139" w:rsidP="00B32139">
      <w:pPr>
        <w:widowControl/>
        <w:tabs>
          <w:tab w:val="left" w:pos="2520"/>
        </w:tabs>
        <w:suppressAutoHyphens/>
        <w:ind w:firstLine="709"/>
        <w:jc w:val="center"/>
        <w:rPr>
          <w:rFonts w:ascii="Arial" w:eastAsia="Times New Roman" w:hAnsi="Arial" w:cs="Arial"/>
          <w:color w:val="auto"/>
          <w:szCs w:val="28"/>
          <w:lang w:bidi="ar-SA"/>
        </w:rPr>
      </w:pPr>
    </w:p>
    <w:p w:rsidR="00482A6E" w:rsidRPr="00B32139" w:rsidRDefault="00B32139" w:rsidP="00B32139">
      <w:pPr>
        <w:widowControl/>
        <w:suppressAutoHyphens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B32139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АДМИНИСТРАЦИЯ МУНИЦИПАЛЬНОГО РАЙОНА «ШИЛКИНСКИЙ РАЙОН»</w:t>
      </w:r>
    </w:p>
    <w:p w:rsidR="00B32139" w:rsidRDefault="00B32139" w:rsidP="00B32139">
      <w:pPr>
        <w:pStyle w:val="11"/>
        <w:keepNext/>
        <w:keepLines/>
        <w:spacing w:after="0"/>
        <w:rPr>
          <w:color w:val="auto"/>
        </w:rPr>
      </w:pPr>
      <w:bookmarkStart w:id="0" w:name="bookmark2"/>
    </w:p>
    <w:p w:rsidR="00482A6E" w:rsidRPr="00783BC2" w:rsidRDefault="00661C13" w:rsidP="00B32139">
      <w:pPr>
        <w:pStyle w:val="11"/>
        <w:keepNext/>
        <w:keepLines/>
        <w:spacing w:after="0"/>
        <w:rPr>
          <w:color w:val="auto"/>
        </w:rPr>
      </w:pPr>
      <w:r w:rsidRPr="00783BC2">
        <w:rPr>
          <w:color w:val="auto"/>
        </w:rPr>
        <w:t>РАСПОРЯЖЕНИЕ</w:t>
      </w:r>
      <w:bookmarkEnd w:id="0"/>
    </w:p>
    <w:p w:rsidR="00B32139" w:rsidRDefault="00B32139" w:rsidP="00B32139">
      <w:pPr>
        <w:pStyle w:val="1"/>
        <w:tabs>
          <w:tab w:val="left" w:pos="4608"/>
          <w:tab w:val="left" w:pos="8107"/>
        </w:tabs>
        <w:ind w:firstLine="0"/>
        <w:jc w:val="center"/>
        <w:rPr>
          <w:color w:val="auto"/>
        </w:rPr>
      </w:pPr>
    </w:p>
    <w:p w:rsidR="00482A6E" w:rsidRDefault="00596007" w:rsidP="00B32139">
      <w:pPr>
        <w:pStyle w:val="1"/>
        <w:tabs>
          <w:tab w:val="left" w:pos="4608"/>
          <w:tab w:val="left" w:pos="8107"/>
        </w:tabs>
        <w:ind w:firstLine="0"/>
        <w:jc w:val="center"/>
        <w:rPr>
          <w:color w:val="auto"/>
        </w:rPr>
      </w:pPr>
      <w:r>
        <w:rPr>
          <w:color w:val="auto"/>
        </w:rPr>
        <w:t>19 декабря 2024 года</w:t>
      </w:r>
      <w:bookmarkStart w:id="1" w:name="_GoBack"/>
      <w:bookmarkEnd w:id="1"/>
      <w:r w:rsidR="00661C13" w:rsidRPr="00783BC2">
        <w:rPr>
          <w:color w:val="auto"/>
        </w:rPr>
        <w:tab/>
      </w:r>
      <w:r w:rsidR="00661C13" w:rsidRPr="00783BC2">
        <w:rPr>
          <w:color w:val="auto"/>
        </w:rPr>
        <w:tab/>
        <w:t>№</w:t>
      </w:r>
      <w:r>
        <w:rPr>
          <w:color w:val="auto"/>
        </w:rPr>
        <w:t xml:space="preserve"> 468</w:t>
      </w:r>
    </w:p>
    <w:p w:rsidR="00B32139" w:rsidRDefault="00B32139" w:rsidP="00B32139">
      <w:pPr>
        <w:pStyle w:val="1"/>
        <w:tabs>
          <w:tab w:val="left" w:pos="4608"/>
          <w:tab w:val="left" w:pos="8107"/>
        </w:tabs>
        <w:spacing w:after="320"/>
        <w:ind w:firstLine="0"/>
        <w:jc w:val="center"/>
        <w:rPr>
          <w:color w:val="auto"/>
        </w:rPr>
      </w:pPr>
    </w:p>
    <w:p w:rsidR="00B32139" w:rsidRPr="00783BC2" w:rsidRDefault="00B32139" w:rsidP="00B32139">
      <w:pPr>
        <w:pStyle w:val="1"/>
        <w:tabs>
          <w:tab w:val="left" w:pos="4608"/>
          <w:tab w:val="left" w:pos="8107"/>
        </w:tabs>
        <w:spacing w:after="320"/>
        <w:ind w:firstLine="0"/>
        <w:jc w:val="center"/>
        <w:rPr>
          <w:color w:val="auto"/>
        </w:rPr>
      </w:pPr>
      <w:r>
        <w:rPr>
          <w:color w:val="auto"/>
        </w:rPr>
        <w:t>г. Шилка</w:t>
      </w:r>
    </w:p>
    <w:p w:rsidR="00482A6E" w:rsidRPr="00783BC2" w:rsidRDefault="00661C13">
      <w:pPr>
        <w:pStyle w:val="1"/>
        <w:spacing w:after="320"/>
        <w:ind w:firstLine="0"/>
        <w:jc w:val="center"/>
        <w:rPr>
          <w:color w:val="auto"/>
        </w:rPr>
      </w:pPr>
      <w:r w:rsidRPr="00783BC2">
        <w:rPr>
          <w:b/>
          <w:bCs/>
          <w:color w:val="auto"/>
        </w:rPr>
        <w:t>Об утверждении Положения о единовременной выплате работникам</w:t>
      </w:r>
      <w:r w:rsidRPr="00783BC2">
        <w:rPr>
          <w:b/>
          <w:bCs/>
          <w:color w:val="auto"/>
        </w:rPr>
        <w:br/>
        <w:t>учреждений культуры и педагогическим работникам организаций</w:t>
      </w:r>
      <w:r w:rsidRPr="00783BC2">
        <w:rPr>
          <w:b/>
          <w:bCs/>
          <w:color w:val="auto"/>
        </w:rPr>
        <w:br/>
        <w:t>дополнительного образования детей в сфере культуры в 2024 году</w:t>
      </w:r>
    </w:p>
    <w:p w:rsidR="00482A6E" w:rsidRPr="00783BC2" w:rsidRDefault="00661C13">
      <w:pPr>
        <w:pStyle w:val="1"/>
        <w:spacing w:after="320"/>
        <w:ind w:firstLine="720"/>
        <w:jc w:val="both"/>
        <w:rPr>
          <w:color w:val="auto"/>
        </w:rPr>
      </w:pPr>
      <w:proofErr w:type="gramStart"/>
      <w:r w:rsidRPr="00783BC2">
        <w:rPr>
          <w:color w:val="auto"/>
        </w:rPr>
        <w:t xml:space="preserve">Во исполнение Указов Президента Российской Федерации от 7 мая 2012 года № 597 «О мероприятиях по реализации государственной социальной политики», от 1 июня 2012 года №761 «О Национальной стратегии действий в интересах детей на 2012 - 2017 годы», в соответствии с пунктами 3, 9 статьи 1 Закона Забайкальского края от 8 июля 2024 года № </w:t>
      </w:r>
      <w:r w:rsidRPr="00783BC2">
        <w:rPr>
          <w:color w:val="auto"/>
          <w:lang w:eastAsia="en-US" w:bidi="en-US"/>
        </w:rPr>
        <w:t>2370-33</w:t>
      </w:r>
      <w:r w:rsidRPr="00783BC2">
        <w:rPr>
          <w:color w:val="auto"/>
          <w:lang w:val="en-US" w:eastAsia="en-US" w:bidi="en-US"/>
        </w:rPr>
        <w:t>K</w:t>
      </w:r>
      <w:r w:rsidRPr="00783BC2">
        <w:rPr>
          <w:color w:val="auto"/>
          <w:lang w:eastAsia="en-US" w:bidi="en-US"/>
        </w:rPr>
        <w:t xml:space="preserve"> </w:t>
      </w:r>
      <w:r w:rsidRPr="00783BC2">
        <w:rPr>
          <w:color w:val="auto"/>
        </w:rPr>
        <w:t>«О повышении заработной платы работников государственных и</w:t>
      </w:r>
      <w:proofErr w:type="gramEnd"/>
      <w:r w:rsidRPr="00783BC2">
        <w:rPr>
          <w:color w:val="auto"/>
        </w:rPr>
        <w:t xml:space="preserve"> муниципальных учреждений Забайкальского края и </w:t>
      </w:r>
      <w:proofErr w:type="gramStart"/>
      <w:r w:rsidRPr="00783BC2">
        <w:rPr>
          <w:color w:val="auto"/>
        </w:rPr>
        <w:t>внесении</w:t>
      </w:r>
      <w:proofErr w:type="gramEnd"/>
      <w:r w:rsidRPr="00783BC2">
        <w:rPr>
          <w:color w:val="auto"/>
        </w:rPr>
        <w:t xml:space="preserve"> изменений в Закон Забайкальского края «Об оплате труда работников государственных учреждений Забайкальского края»</w:t>
      </w:r>
      <w:r w:rsidR="00A21752" w:rsidRPr="00783BC2">
        <w:rPr>
          <w:color w:val="auto"/>
        </w:rPr>
        <w:t>, Распоряжения Министерства культуры Забайкальского края от 5 декабря 2024г. № 495Р</w:t>
      </w:r>
      <w:proofErr w:type="gramStart"/>
      <w:r w:rsidR="00A21752" w:rsidRPr="00783BC2">
        <w:rPr>
          <w:color w:val="auto"/>
        </w:rPr>
        <w:t xml:space="preserve"> </w:t>
      </w:r>
      <w:r w:rsidRPr="00783BC2">
        <w:rPr>
          <w:color w:val="auto"/>
        </w:rPr>
        <w:t>:</w:t>
      </w:r>
      <w:proofErr w:type="gramEnd"/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ind w:firstLine="720"/>
        <w:jc w:val="both"/>
        <w:rPr>
          <w:color w:val="auto"/>
        </w:rPr>
      </w:pPr>
      <w:r w:rsidRPr="00783BC2">
        <w:rPr>
          <w:color w:val="auto"/>
        </w:rPr>
        <w:t>Утвердить Положение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 (прилагается).</w:t>
      </w:r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ind w:firstLine="720"/>
        <w:jc w:val="both"/>
        <w:rPr>
          <w:color w:val="auto"/>
        </w:rPr>
      </w:pPr>
      <w:r w:rsidRPr="00783BC2">
        <w:rPr>
          <w:color w:val="auto"/>
        </w:rPr>
        <w:t>Расчет суммы единовременной выплаты работникам учреждений культуры и педагогическим работникам организаций дополнительного образования детей в сфере культуры в 2024 году производить в соответствии с Положением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году.</w:t>
      </w:r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spacing w:after="340"/>
        <w:ind w:firstLine="720"/>
        <w:jc w:val="both"/>
        <w:rPr>
          <w:color w:val="auto"/>
        </w:rPr>
      </w:pPr>
      <w:r w:rsidRPr="00783BC2">
        <w:rPr>
          <w:color w:val="auto"/>
        </w:rPr>
        <w:t>Рекомендовать органам местного самоуправления осуществлять начисление единовременной выплаты в соответствии с Положением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году.</w:t>
      </w:r>
    </w:p>
    <w:p w:rsidR="00482A6E" w:rsidRPr="00783BC2" w:rsidRDefault="00482A6E">
      <w:pPr>
        <w:spacing w:line="1" w:lineRule="exact"/>
        <w:rPr>
          <w:color w:val="auto"/>
        </w:rPr>
      </w:pPr>
    </w:p>
    <w:p w:rsidR="00A21752" w:rsidRPr="00783BC2" w:rsidRDefault="00A21752" w:rsidP="00A21752">
      <w:pPr>
        <w:pStyle w:val="1"/>
        <w:ind w:firstLine="0"/>
        <w:jc w:val="both"/>
        <w:rPr>
          <w:color w:val="auto"/>
        </w:rPr>
      </w:pPr>
      <w:r w:rsidRPr="00783BC2">
        <w:rPr>
          <w:color w:val="auto"/>
        </w:rPr>
        <w:t xml:space="preserve">Глава муниципального района </w:t>
      </w:r>
    </w:p>
    <w:p w:rsidR="00A21752" w:rsidRPr="00783BC2" w:rsidRDefault="00A21752" w:rsidP="00A21752">
      <w:pPr>
        <w:pStyle w:val="1"/>
        <w:ind w:firstLine="0"/>
        <w:jc w:val="both"/>
        <w:rPr>
          <w:color w:val="auto"/>
        </w:rPr>
      </w:pPr>
      <w:r w:rsidRPr="00783BC2">
        <w:rPr>
          <w:color w:val="auto"/>
        </w:rPr>
        <w:t>«</w:t>
      </w:r>
      <w:proofErr w:type="spellStart"/>
      <w:r w:rsidRPr="00783BC2">
        <w:rPr>
          <w:color w:val="auto"/>
        </w:rPr>
        <w:t>Шилкинский</w:t>
      </w:r>
      <w:proofErr w:type="spellEnd"/>
      <w:r w:rsidRPr="00783BC2">
        <w:rPr>
          <w:color w:val="auto"/>
        </w:rPr>
        <w:t xml:space="preserve"> район» </w:t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Pr="00783BC2">
        <w:rPr>
          <w:color w:val="auto"/>
        </w:rPr>
        <w:t>С.В.</w:t>
      </w:r>
      <w:r w:rsidR="00B32139">
        <w:rPr>
          <w:color w:val="auto"/>
        </w:rPr>
        <w:t xml:space="preserve"> </w:t>
      </w:r>
      <w:r w:rsidRPr="00783BC2">
        <w:rPr>
          <w:color w:val="auto"/>
        </w:rPr>
        <w:t>Воробьёв</w:t>
      </w:r>
    </w:p>
    <w:p w:rsidR="00A21752" w:rsidRPr="00783BC2" w:rsidRDefault="00A21752">
      <w:pPr>
        <w:pStyle w:val="1"/>
        <w:spacing w:after="280"/>
        <w:ind w:firstLine="0"/>
        <w:jc w:val="center"/>
        <w:rPr>
          <w:color w:val="auto"/>
        </w:rPr>
      </w:pPr>
    </w:p>
    <w:p w:rsidR="00A21752" w:rsidRPr="00783BC2" w:rsidRDefault="00661C13" w:rsidP="00A21752">
      <w:pPr>
        <w:pStyle w:val="1"/>
        <w:ind w:firstLine="0"/>
        <w:jc w:val="right"/>
        <w:rPr>
          <w:color w:val="auto"/>
        </w:rPr>
      </w:pPr>
      <w:r w:rsidRPr="00783BC2">
        <w:rPr>
          <w:color w:val="auto"/>
        </w:rPr>
        <w:lastRenderedPageBreak/>
        <w:t>УТВЕРЖДЕНО</w:t>
      </w:r>
      <w:r w:rsidRPr="00783BC2">
        <w:rPr>
          <w:color w:val="auto"/>
        </w:rPr>
        <w:br/>
        <w:t>распоряжением</w:t>
      </w:r>
      <w:r w:rsidRPr="00783BC2">
        <w:rPr>
          <w:color w:val="auto"/>
        </w:rPr>
        <w:br/>
      </w:r>
      <w:r w:rsidR="00A21752" w:rsidRPr="00783BC2">
        <w:rPr>
          <w:color w:val="auto"/>
        </w:rPr>
        <w:t>администрации муниципального района</w:t>
      </w:r>
    </w:p>
    <w:p w:rsidR="00A21752" w:rsidRPr="00783BC2" w:rsidRDefault="00A21752" w:rsidP="00A21752">
      <w:pPr>
        <w:pStyle w:val="1"/>
        <w:ind w:firstLine="0"/>
        <w:jc w:val="right"/>
        <w:rPr>
          <w:color w:val="auto"/>
        </w:rPr>
      </w:pPr>
      <w:r w:rsidRPr="00783BC2">
        <w:rPr>
          <w:color w:val="auto"/>
        </w:rPr>
        <w:t xml:space="preserve"> «</w:t>
      </w:r>
      <w:proofErr w:type="spellStart"/>
      <w:r w:rsidRPr="00783BC2">
        <w:rPr>
          <w:color w:val="auto"/>
        </w:rPr>
        <w:t>Шилкинский</w:t>
      </w:r>
      <w:proofErr w:type="spellEnd"/>
      <w:r w:rsidRPr="00783BC2">
        <w:rPr>
          <w:color w:val="auto"/>
        </w:rPr>
        <w:t xml:space="preserve"> район»</w:t>
      </w:r>
    </w:p>
    <w:p w:rsidR="00482A6E" w:rsidRPr="00783BC2" w:rsidRDefault="00A21752" w:rsidP="00A21752">
      <w:pPr>
        <w:pStyle w:val="1"/>
        <w:spacing w:after="280"/>
        <w:ind w:firstLine="0"/>
        <w:jc w:val="center"/>
        <w:rPr>
          <w:color w:val="auto"/>
        </w:rPr>
      </w:pPr>
      <w:r w:rsidRPr="00783BC2">
        <w:rPr>
          <w:color w:val="auto"/>
        </w:rPr>
        <w:t xml:space="preserve">                                                                          </w:t>
      </w:r>
      <w:r w:rsidR="00661C13" w:rsidRPr="00783BC2">
        <w:rPr>
          <w:color w:val="auto"/>
        </w:rPr>
        <w:t>от «</w:t>
      </w:r>
      <w:r w:rsidR="00B32139">
        <w:rPr>
          <w:color w:val="auto"/>
        </w:rPr>
        <w:t xml:space="preserve">     </w:t>
      </w:r>
      <w:r w:rsidR="00661C13" w:rsidRPr="00783BC2">
        <w:rPr>
          <w:color w:val="auto"/>
        </w:rPr>
        <w:t>» декабря 2024 г, №</w:t>
      </w:r>
    </w:p>
    <w:p w:rsidR="00482A6E" w:rsidRPr="00783BC2" w:rsidRDefault="00661C13">
      <w:pPr>
        <w:pStyle w:val="1"/>
        <w:spacing w:after="280"/>
        <w:ind w:firstLine="0"/>
        <w:jc w:val="center"/>
        <w:rPr>
          <w:color w:val="auto"/>
        </w:rPr>
      </w:pPr>
      <w:r w:rsidRPr="00783BC2">
        <w:rPr>
          <w:b/>
          <w:bCs/>
          <w:color w:val="auto"/>
        </w:rPr>
        <w:t>Положение о единовременной выплате работникам учреждений</w:t>
      </w:r>
      <w:r w:rsidRPr="00783BC2">
        <w:rPr>
          <w:b/>
          <w:bCs/>
          <w:color w:val="auto"/>
        </w:rPr>
        <w:br/>
        <w:t>культуры и педагогическим работникам организаций</w:t>
      </w:r>
      <w:r w:rsidRPr="00783BC2">
        <w:rPr>
          <w:b/>
          <w:bCs/>
          <w:color w:val="auto"/>
        </w:rPr>
        <w:br/>
        <w:t>дополнительного образования детей</w:t>
      </w:r>
      <w:r w:rsidRPr="00783BC2">
        <w:rPr>
          <w:b/>
          <w:bCs/>
          <w:color w:val="auto"/>
        </w:rPr>
        <w:br/>
        <w:t>в сфере культуры в 2024 году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20"/>
        <w:jc w:val="both"/>
        <w:rPr>
          <w:color w:val="auto"/>
        </w:rPr>
      </w:pPr>
      <w:proofErr w:type="gramStart"/>
      <w:r w:rsidRPr="00783BC2">
        <w:rPr>
          <w:color w:val="auto"/>
        </w:rPr>
        <w:t>Настоящее Положение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 разработано в целях усиления материальной заинтересованности в качественном исполнении трудовых обязанностей, повышения профессионального уровня, развития творческой инициативы, применения современных технологий в работе, повышения эффективности деятельности учреждений, улучшения качества оказываемых услуг.</w:t>
      </w:r>
      <w:proofErr w:type="gramEnd"/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20"/>
        <w:jc w:val="both"/>
        <w:rPr>
          <w:color w:val="auto"/>
        </w:rPr>
      </w:pPr>
      <w:r w:rsidRPr="00783BC2">
        <w:rPr>
          <w:color w:val="auto"/>
        </w:rPr>
        <w:t>Объем бюджетных сре</w:t>
      </w:r>
      <w:proofErr w:type="gramStart"/>
      <w:r w:rsidRPr="00783BC2">
        <w:rPr>
          <w:color w:val="auto"/>
        </w:rPr>
        <w:t>дств дл</w:t>
      </w:r>
      <w:proofErr w:type="gramEnd"/>
      <w:r w:rsidRPr="00783BC2">
        <w:rPr>
          <w:color w:val="auto"/>
        </w:rPr>
        <w:t>я начисления единовременной выплаты работникам учреждений культуры и педагогическим работникам организаций дополнительного образования детей в сфере культуры в 2024 году определяется в следующих размерах:</w:t>
      </w:r>
    </w:p>
    <w:p w:rsidR="00482A6E" w:rsidRPr="00783BC2" w:rsidRDefault="00661C13">
      <w:pPr>
        <w:pStyle w:val="1"/>
        <w:ind w:firstLine="820"/>
        <w:jc w:val="both"/>
        <w:rPr>
          <w:color w:val="auto"/>
        </w:rPr>
      </w:pPr>
      <w:r w:rsidRPr="00783BC2">
        <w:rPr>
          <w:color w:val="auto"/>
        </w:rPr>
        <w:t>для муниципальных учреждений - в пределах дополнительных бюджетных ассигнований, выделенных из бюджета Забайкальского края в виде</w:t>
      </w:r>
      <w:r w:rsidR="00A21752" w:rsidRPr="00783BC2">
        <w:rPr>
          <w:color w:val="auto"/>
        </w:rPr>
        <w:t xml:space="preserve"> дотации муниципальному району </w:t>
      </w:r>
      <w:r w:rsidRPr="00783BC2">
        <w:rPr>
          <w:color w:val="auto"/>
        </w:rPr>
        <w:t>Забайкальского края в декабре 2024 года.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spacing w:after="280"/>
        <w:ind w:firstLine="82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производится работнику с учетом показателей эффективности и результативности деятельности работников учреждения, согласно следующим критериям: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114"/>
        <w:gridCol w:w="4616"/>
      </w:tblGrid>
      <w:tr w:rsidR="00783BC2" w:rsidRPr="00783BC2" w:rsidTr="00B376CF">
        <w:trPr>
          <w:trHeight w:hRule="exact" w:val="91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№</w:t>
            </w:r>
            <w:proofErr w:type="spellStart"/>
            <w:r w:rsidRPr="00783BC2">
              <w:rPr>
                <w:b/>
                <w:bCs/>
                <w:color w:val="auto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Критерии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52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Показатели эффективности и результативности деятельности работников учреждения</w:t>
            </w:r>
          </w:p>
        </w:tc>
      </w:tr>
      <w:tr w:rsidR="00B32139" w:rsidRPr="00783BC2" w:rsidTr="00652AD8">
        <w:trPr>
          <w:trHeight w:hRule="exact" w:val="6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32139" w:rsidRPr="00783BC2" w:rsidRDefault="00B32139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87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139" w:rsidRPr="00B32139" w:rsidRDefault="00B32139" w:rsidP="00B32139">
            <w:pPr>
              <w:jc w:val="center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  <w:r w:rsidRPr="00B32139">
              <w:rPr>
                <w:rFonts w:ascii="Times New Roman" w:hAnsi="Times New Roman" w:cs="Times New Roman"/>
                <w:b/>
                <w:bCs/>
                <w:color w:val="auto"/>
              </w:rPr>
              <w:t>Работники учреждений культуры (КДУ)</w:t>
            </w:r>
          </w:p>
        </w:tc>
      </w:tr>
      <w:tr w:rsidR="00783BC2" w:rsidRPr="00783BC2" w:rsidTr="00B32139">
        <w:trPr>
          <w:trHeight w:hRule="exact" w:val="25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63B8" w:rsidRPr="00783BC2" w:rsidRDefault="00661C13" w:rsidP="00B32139">
            <w:pPr>
              <w:pStyle w:val="a5"/>
              <w:spacing w:line="254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Творческая активность, организация и проведение социально-значимых мероприятий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сверх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установленных государственным (муниципальным) заданием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6CF" w:rsidRDefault="00B376CF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участие в организации и</w:t>
            </w:r>
            <w:r w:rsidR="00661C13" w:rsidRPr="00B376CF">
              <w:rPr>
                <w:color w:val="auto"/>
                <w:sz w:val="24"/>
                <w:szCs w:val="24"/>
              </w:rPr>
              <w:t xml:space="preserve"> проведении </w:t>
            </w:r>
            <w:r>
              <w:rPr>
                <w:color w:val="auto"/>
                <w:sz w:val="24"/>
                <w:szCs w:val="24"/>
              </w:rPr>
              <w:t>–</w:t>
            </w:r>
            <w:r w:rsidR="00661C13" w:rsidRPr="00B376CF">
              <w:rPr>
                <w:color w:val="auto"/>
                <w:sz w:val="24"/>
                <w:szCs w:val="24"/>
              </w:rPr>
              <w:t xml:space="preserve"> </w:t>
            </w:r>
          </w:p>
          <w:p w:rsidR="00482A6E" w:rsidRPr="00B376CF" w:rsidRDefault="00661C13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 w:rsidRPr="00B376CF">
              <w:rPr>
                <w:color w:val="auto"/>
                <w:sz w:val="24"/>
                <w:szCs w:val="24"/>
              </w:rPr>
              <w:t xml:space="preserve">от </w:t>
            </w:r>
            <w:r w:rsidR="00B376CF">
              <w:rPr>
                <w:color w:val="auto"/>
                <w:sz w:val="24"/>
                <w:szCs w:val="24"/>
              </w:rPr>
              <w:t>25</w:t>
            </w:r>
            <w:r w:rsidRPr="00B376CF">
              <w:rPr>
                <w:color w:val="auto"/>
                <w:sz w:val="24"/>
                <w:szCs w:val="24"/>
              </w:rPr>
              <w:t xml:space="preserve"> до 100 баллов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 наличие призёров: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I  место – 15 баллов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II место – 10 баллов</w:t>
            </w:r>
          </w:p>
          <w:p w:rsidR="008F63B8" w:rsidRPr="00783BC2" w:rsidRDefault="008F63B8" w:rsidP="00B32139">
            <w:pPr>
              <w:pStyle w:val="a5"/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        -  III место – 5 баллов</w:t>
            </w:r>
          </w:p>
          <w:p w:rsidR="00482A6E" w:rsidRPr="00783BC2" w:rsidRDefault="00661C13" w:rsidP="00B32139">
            <w:pPr>
              <w:pStyle w:val="a5"/>
              <w:tabs>
                <w:tab w:val="left" w:leader="underscore" w:pos="2155"/>
              </w:tabs>
              <w:spacing w:line="180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ab/>
              <w:t>|</w:t>
            </w:r>
          </w:p>
        </w:tc>
      </w:tr>
      <w:tr w:rsidR="00783BC2" w:rsidRPr="00783BC2" w:rsidTr="00B32139">
        <w:trPr>
          <w:trHeight w:hRule="exact" w:val="62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8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1.2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783BC2">
              <w:rPr>
                <w:color w:val="auto"/>
                <w:sz w:val="24"/>
                <w:szCs w:val="24"/>
              </w:rPr>
              <w:t>Степень выполнения плана платных услуг (привлечение средств от</w:t>
            </w:r>
            <w:proofErr w:type="gramEnd"/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6E" w:rsidRPr="00783BC2" w:rsidRDefault="00482A6E" w:rsidP="00B32139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482A6E" w:rsidRPr="00783BC2" w:rsidRDefault="00661C13">
      <w:pPr>
        <w:spacing w:line="1" w:lineRule="exact"/>
        <w:rPr>
          <w:color w:val="auto"/>
        </w:rPr>
      </w:pPr>
      <w:r w:rsidRPr="00783BC2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4109"/>
        <w:gridCol w:w="4685"/>
      </w:tblGrid>
      <w:tr w:rsidR="00783BC2" w:rsidRPr="00783BC2" w:rsidTr="00B32139">
        <w:trPr>
          <w:trHeight w:hRule="exact" w:val="421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482A6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line="254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приносящей доход деятельности на развитие организации: гранты, пушкинская карта, спонсорская помощь, услуги)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A6E" w:rsidRPr="00783BC2" w:rsidRDefault="00783BC2" w:rsidP="00B32139">
            <w:pPr>
              <w:pStyle w:val="a5"/>
              <w:tabs>
                <w:tab w:val="left" w:pos="130"/>
              </w:tabs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- </w:t>
            </w:r>
            <w:r w:rsidR="00661C13" w:rsidRPr="00783BC2">
              <w:rPr>
                <w:color w:val="auto"/>
                <w:sz w:val="24"/>
                <w:szCs w:val="24"/>
              </w:rPr>
              <w:t>Выполнение плана:</w:t>
            </w:r>
          </w:p>
          <w:p w:rsidR="00482A6E" w:rsidRPr="00783BC2" w:rsidRDefault="00783BC2" w:rsidP="00B32139">
            <w:pPr>
              <w:pStyle w:val="a5"/>
              <w:numPr>
                <w:ilvl w:val="0"/>
                <w:numId w:val="6"/>
              </w:numPr>
              <w:tabs>
                <w:tab w:val="left" w:pos="149"/>
              </w:tabs>
              <w:spacing w:line="22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30%</w:t>
            </w:r>
          </w:p>
          <w:p w:rsidR="00482A6E" w:rsidRPr="00783BC2" w:rsidRDefault="00661C13" w:rsidP="00B32139">
            <w:pPr>
              <w:pStyle w:val="a5"/>
              <w:numPr>
                <w:ilvl w:val="0"/>
                <w:numId w:val="5"/>
              </w:numPr>
              <w:tabs>
                <w:tab w:val="left" w:pos="245"/>
              </w:tabs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Перевыполнение плана:</w:t>
            </w:r>
          </w:p>
          <w:p w:rsidR="00482A6E" w:rsidRPr="00783BC2" w:rsidRDefault="00783BC2" w:rsidP="00B32139">
            <w:pPr>
              <w:pStyle w:val="a5"/>
              <w:numPr>
                <w:ilvl w:val="0"/>
                <w:numId w:val="7"/>
              </w:numPr>
              <w:tabs>
                <w:tab w:val="left" w:pos="168"/>
              </w:tabs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до 10% - 10 баллов;   11-25 баллов – 25 баллов;   26-50% - 50 баллов;  свыше 50% - 100 баллов</w:t>
            </w:r>
          </w:p>
        </w:tc>
      </w:tr>
      <w:tr w:rsidR="00B376CF" w:rsidRPr="00783BC2" w:rsidTr="00B32139">
        <w:trPr>
          <w:trHeight w:hRule="exact" w:val="133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376CF" w:rsidRPr="001C57A4" w:rsidRDefault="001C57A4">
            <w:pPr>
              <w:rPr>
                <w:rFonts w:ascii="Times New Roman" w:hAnsi="Times New Roman" w:cs="Times New Roman"/>
                <w:color w:val="auto"/>
              </w:rPr>
            </w:pPr>
            <w:r w:rsidRPr="001C57A4">
              <w:rPr>
                <w:rFonts w:ascii="Times New Roman" w:hAnsi="Times New Roman" w:cs="Times New Roman"/>
                <w:color w:val="auto"/>
              </w:rPr>
              <w:t>1.3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376CF" w:rsidRPr="00783BC2" w:rsidRDefault="001C57A4" w:rsidP="001C57A4">
            <w:pPr>
              <w:pStyle w:val="a5"/>
              <w:spacing w:line="254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1C57A4">
              <w:rPr>
                <w:color w:val="auto"/>
                <w:sz w:val="24"/>
                <w:szCs w:val="24"/>
              </w:rPr>
              <w:t xml:space="preserve">Исполнительская дисциплина (своевременное предоставление полугодовых, годовых отчётов)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6CF" w:rsidRPr="00783BC2" w:rsidRDefault="001C57A4" w:rsidP="00B32139">
            <w:pPr>
              <w:pStyle w:val="a5"/>
              <w:tabs>
                <w:tab w:val="left" w:pos="130"/>
              </w:tabs>
              <w:spacing w:line="230" w:lineRule="auto"/>
              <w:ind w:firstLine="0"/>
              <w:rPr>
                <w:color w:val="auto"/>
                <w:sz w:val="24"/>
                <w:szCs w:val="24"/>
              </w:rPr>
            </w:pPr>
            <w:r w:rsidRPr="001C57A4">
              <w:rPr>
                <w:color w:val="auto"/>
                <w:sz w:val="24"/>
                <w:szCs w:val="24"/>
              </w:rPr>
              <w:t xml:space="preserve">-  </w:t>
            </w:r>
            <w:r>
              <w:rPr>
                <w:color w:val="auto"/>
                <w:sz w:val="24"/>
                <w:szCs w:val="24"/>
              </w:rPr>
              <w:t>2</w:t>
            </w:r>
            <w:r w:rsidRPr="001C57A4">
              <w:rPr>
                <w:color w:val="auto"/>
                <w:sz w:val="24"/>
                <w:szCs w:val="24"/>
              </w:rPr>
              <w:t>0 баллов</w:t>
            </w:r>
          </w:p>
        </w:tc>
      </w:tr>
      <w:tr w:rsidR="00783BC2" w:rsidRPr="00783BC2">
        <w:trPr>
          <w:trHeight w:hRule="exact" w:val="54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 xml:space="preserve">Педагогические работники организаций дополнительного образования детей </w:t>
            </w:r>
            <w:r w:rsidR="00A21752" w:rsidRPr="00783BC2">
              <w:rPr>
                <w:b/>
                <w:bCs/>
                <w:color w:val="auto"/>
                <w:sz w:val="24"/>
                <w:szCs w:val="24"/>
              </w:rPr>
              <w:t>в сфере культуры (ДШИ</w:t>
            </w:r>
            <w:r w:rsidRPr="00783BC2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</w:tr>
      <w:tr w:rsidR="00783BC2" w:rsidRPr="00783BC2">
        <w:trPr>
          <w:trHeight w:hRule="exact" w:val="60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Успеваемость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(хорошо и отлично)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свыше 50 процентов качества - 70 баллов</w:t>
            </w:r>
          </w:p>
        </w:tc>
      </w:tr>
      <w:tr w:rsidR="00783BC2" w:rsidRPr="00783BC2">
        <w:trPr>
          <w:trHeight w:hRule="exact" w:val="5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before="100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59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Достижения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(результативность участия)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за участие в конкурсах - 30 баллов</w:t>
            </w:r>
          </w:p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лауреат, победитель - 70 баллов</w:t>
            </w:r>
          </w:p>
        </w:tc>
      </w:tr>
      <w:tr w:rsidR="00783BC2" w:rsidRPr="00783BC2">
        <w:trPr>
          <w:trHeight w:hRule="exact" w:val="88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менее 80 процентов - 0%</w:t>
            </w:r>
          </w:p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от 80 до 95 процентов - 40%</w:t>
            </w:r>
          </w:p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от 96 до 100 процентов - 60%</w:t>
            </w:r>
          </w:p>
        </w:tc>
      </w:tr>
    </w:tbl>
    <w:p w:rsidR="00482A6E" w:rsidRPr="00783BC2" w:rsidRDefault="008F63B8" w:rsidP="008F63B8">
      <w:pPr>
        <w:tabs>
          <w:tab w:val="left" w:pos="1116"/>
        </w:tabs>
        <w:spacing w:after="299" w:line="1" w:lineRule="exact"/>
        <w:rPr>
          <w:color w:val="auto"/>
        </w:rPr>
      </w:pPr>
      <w:r w:rsidRPr="00783BC2">
        <w:rPr>
          <w:color w:val="auto"/>
        </w:rPr>
        <w:tab/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040"/>
        <w:gridCol w:w="3748"/>
      </w:tblGrid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B32139" w:rsidP="008F63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  <w:t>3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B32139" w:rsidRDefault="008F63B8" w:rsidP="00B32139">
            <w:pPr>
              <w:jc w:val="center"/>
              <w:rPr>
                <w:b/>
                <w:color w:val="auto"/>
              </w:rPr>
            </w:pPr>
            <w:r w:rsidRPr="00B32139">
              <w:rPr>
                <w:rFonts w:ascii="Times New Roman" w:hAnsi="Times New Roman"/>
                <w:b/>
                <w:color w:val="auto"/>
                <w:sz w:val="28"/>
              </w:rPr>
              <w:t>БИБЛИОТЕКИ</w:t>
            </w:r>
          </w:p>
        </w:tc>
      </w:tr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8908B0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3.</w:t>
            </w:r>
            <w:r w:rsidR="008F63B8" w:rsidRPr="00783BC2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Процент вовлеченности жителей населенного пункта в мероприятия и проекты библиотек (количество зарегистрированных пользователей библиотеки / число жителей в населенном пункте x 100)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numPr>
                <w:ilvl w:val="0"/>
                <w:numId w:val="9"/>
              </w:numPr>
              <w:spacing w:after="200" w:line="276" w:lineRule="auto"/>
              <w:ind w:left="318" w:hanging="283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Для городских поселений: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ниже 38 % – 5-30 баллов;</w:t>
            </w:r>
          </w:p>
          <w:p w:rsidR="008F63B8" w:rsidRPr="008F63B8" w:rsidRDefault="008F63B8" w:rsidP="008F63B8">
            <w:pPr>
              <w:widowControl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39 % и более – 31-100 баллов.</w:t>
            </w:r>
          </w:p>
          <w:p w:rsidR="008F63B8" w:rsidRPr="008F63B8" w:rsidRDefault="008F63B8" w:rsidP="008F63B8">
            <w:pPr>
              <w:widowControl/>
              <w:numPr>
                <w:ilvl w:val="0"/>
                <w:numId w:val="9"/>
              </w:numPr>
              <w:spacing w:after="200" w:line="276" w:lineRule="auto"/>
              <w:ind w:left="318" w:hanging="283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Для сельских поселений: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ниже 60 % – 5-30 баллов;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61% и более – 31-100 баллов.</w:t>
            </w:r>
          </w:p>
        </w:tc>
      </w:tr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8F63B8" w:rsidP="009C4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783BC2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</w:t>
            </w:r>
            <w:r w:rsidR="008908B0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.</w:t>
            </w:r>
            <w:r w:rsidR="009C4AED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Творческая активность, организация социально-значимых мероприятий и проектов, направленных на формирование духовно-нравственных ценностей с максимальным охватом населения жителей района, города, села (перевыполнение плановых мероприятий)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Default="008F63B8" w:rsidP="008F63B8">
            <w:pPr>
              <w:widowControl/>
              <w:numPr>
                <w:ilvl w:val="0"/>
                <w:numId w:val="11"/>
              </w:numPr>
              <w:spacing w:after="200" w:line="276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Степень вклада в организацию и проведение мероприятия – </w:t>
            </w:r>
            <w:r w:rsidR="00475827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25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-100 баллов. </w:t>
            </w:r>
          </w:p>
          <w:p w:rsidR="009C4AED" w:rsidRPr="009C4AED" w:rsidRDefault="009C4AED" w:rsidP="009C4AED">
            <w:pPr>
              <w:pStyle w:val="a5"/>
              <w:numPr>
                <w:ilvl w:val="0"/>
                <w:numId w:val="11"/>
              </w:numPr>
              <w:tabs>
                <w:tab w:val="left" w:pos="134"/>
              </w:tabs>
              <w:spacing w:line="264" w:lineRule="auto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наличие призёров: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left="720"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I  место – 15 баллов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left="720"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II место – 10 баллов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 xml:space="preserve">        -  III место – 5 баллов</w:t>
            </w:r>
          </w:p>
          <w:p w:rsidR="009C4AED" w:rsidRPr="008F63B8" w:rsidRDefault="009C4AED" w:rsidP="009C4AED">
            <w:pPr>
              <w:widowControl/>
              <w:spacing w:after="200" w:line="276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</w:p>
        </w:tc>
      </w:tr>
      <w:tr w:rsidR="001C57A4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783BC2" w:rsidRDefault="001C57A4" w:rsidP="009C4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8F63B8" w:rsidRDefault="001C57A4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1C57A4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Исполнительская дисциплина (своевременное предоставление полугодовых, годовых отчётов)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8F63B8" w:rsidRDefault="001C57A4" w:rsidP="001C57A4">
            <w:pPr>
              <w:widowControl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- 20 баллов</w:t>
            </w:r>
          </w:p>
        </w:tc>
      </w:tr>
    </w:tbl>
    <w:p w:rsidR="008F63B8" w:rsidRPr="00783BC2" w:rsidRDefault="008F63B8" w:rsidP="008F63B8">
      <w:pPr>
        <w:tabs>
          <w:tab w:val="left" w:pos="1116"/>
        </w:tabs>
        <w:spacing w:after="299" w:line="1" w:lineRule="exact"/>
        <w:rPr>
          <w:color w:val="auto"/>
        </w:rPr>
      </w:pP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00"/>
        <w:jc w:val="both"/>
        <w:rPr>
          <w:color w:val="auto"/>
        </w:rPr>
      </w:pPr>
      <w:r w:rsidRPr="00783BC2">
        <w:rPr>
          <w:color w:val="auto"/>
        </w:rPr>
        <w:t>Сумма единовременной выплаты определяется исходя из стоимости балла, которая рассчитывается:</w:t>
      </w:r>
    </w:p>
    <w:p w:rsidR="00482A6E" w:rsidRPr="00783BC2" w:rsidRDefault="00661C13">
      <w:pPr>
        <w:pStyle w:val="1"/>
        <w:ind w:firstLine="800"/>
        <w:jc w:val="both"/>
        <w:rPr>
          <w:color w:val="auto"/>
        </w:rPr>
      </w:pPr>
      <w:r w:rsidRPr="00783BC2">
        <w:rPr>
          <w:color w:val="auto"/>
        </w:rPr>
        <w:t xml:space="preserve">для муниципальных учреждений - от суммы дополнительных бюджетных ассигнований по КОСГУ 211 «Заработная плата», выделенных из бюджета Забайкальского края в виде дотации муниципальному району Забайкальского </w:t>
      </w:r>
      <w:r w:rsidRPr="00783BC2">
        <w:rPr>
          <w:color w:val="auto"/>
        </w:rPr>
        <w:lastRenderedPageBreak/>
        <w:t>края в декабре 2024 года, делением на количество баллов, полученных при оценке работников учреждений.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0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работнику производится по основному месту работы, состоящему в трудовых отношениях на момент начисления данной выплаты (кроме работников, находящихся в отпуске по уходу за ребенком, и отпуске без сохранения заработной платы), пропорционально занимаемой ставке, но не более одной.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производится с учетом районного коэффициента, действующего на территории Забайкальского края, и процентной надбавки к заработной плате за стаж работы в районах Крайнего Севера и приравненных к ним местностях.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Перечисление единовременной выплаты производится с учетом обязательств согласно действующему законодательству.</w:t>
      </w:r>
    </w:p>
    <w:p w:rsidR="008908B0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Перечисление единовременной выплаты работнику произвести в срок до конца 2024 года.</w:t>
      </w:r>
    </w:p>
    <w:p w:rsidR="008908B0" w:rsidRPr="008908B0" w:rsidRDefault="008908B0" w:rsidP="008908B0"/>
    <w:p w:rsidR="00482A6E" w:rsidRPr="008908B0" w:rsidRDefault="00482A6E" w:rsidP="008908B0"/>
    <w:sectPr w:rsidR="00482A6E" w:rsidRPr="008908B0">
      <w:type w:val="continuous"/>
      <w:pgSz w:w="11900" w:h="16840"/>
      <w:pgMar w:top="641" w:right="380" w:bottom="731" w:left="1882" w:header="213" w:footer="3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77" w:rsidRDefault="00410177">
      <w:r>
        <w:separator/>
      </w:r>
    </w:p>
  </w:endnote>
  <w:endnote w:type="continuationSeparator" w:id="0">
    <w:p w:rsidR="00410177" w:rsidRDefault="0041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77" w:rsidRDefault="00410177"/>
  </w:footnote>
  <w:footnote w:type="continuationSeparator" w:id="0">
    <w:p w:rsidR="00410177" w:rsidRDefault="004101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3A9"/>
    <w:multiLevelType w:val="multilevel"/>
    <w:tmpl w:val="6C021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F5A9A"/>
    <w:multiLevelType w:val="multilevel"/>
    <w:tmpl w:val="200A6C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A4A3F"/>
    <w:multiLevelType w:val="multilevel"/>
    <w:tmpl w:val="40AC5F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44023B"/>
    <w:multiLevelType w:val="multilevel"/>
    <w:tmpl w:val="6024C1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1893"/>
    <w:multiLevelType w:val="multilevel"/>
    <w:tmpl w:val="D1764B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21D2B"/>
    <w:multiLevelType w:val="multilevel"/>
    <w:tmpl w:val="7D7C68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B45B12"/>
    <w:multiLevelType w:val="multilevel"/>
    <w:tmpl w:val="0554D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FE11BB"/>
    <w:multiLevelType w:val="multilevel"/>
    <w:tmpl w:val="D8A01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0404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095716"/>
    <w:multiLevelType w:val="multilevel"/>
    <w:tmpl w:val="59765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7943F6"/>
    <w:multiLevelType w:val="multilevel"/>
    <w:tmpl w:val="F28A4EA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CF12D0"/>
    <w:multiLevelType w:val="multilevel"/>
    <w:tmpl w:val="E80CA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82A6E"/>
    <w:rsid w:val="001C57A4"/>
    <w:rsid w:val="00410177"/>
    <w:rsid w:val="00475827"/>
    <w:rsid w:val="00482A6E"/>
    <w:rsid w:val="00596007"/>
    <w:rsid w:val="00635E1A"/>
    <w:rsid w:val="00661C13"/>
    <w:rsid w:val="00783BC2"/>
    <w:rsid w:val="008908B0"/>
    <w:rsid w:val="008F63B8"/>
    <w:rsid w:val="009C4AED"/>
    <w:rsid w:val="00A21752"/>
    <w:rsid w:val="00B32139"/>
    <w:rsid w:val="00B376CF"/>
    <w:rsid w:val="00C2215D"/>
    <w:rsid w:val="00C5490C"/>
    <w:rsid w:val="00D5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styleId="a6">
    <w:name w:val="List Paragraph"/>
    <w:basedOn w:val="a"/>
    <w:link w:val="a7"/>
    <w:rsid w:val="00D55E2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0"/>
      <w:lang w:bidi="ar-SA"/>
    </w:rPr>
  </w:style>
  <w:style w:type="character" w:customStyle="1" w:styleId="a7">
    <w:name w:val="Абзац списка Знак"/>
    <w:basedOn w:val="a0"/>
    <w:link w:val="a6"/>
    <w:rsid w:val="00D55E25"/>
    <w:rPr>
      <w:rFonts w:ascii="Calibri" w:eastAsia="Times New Roman" w:hAnsi="Calibri" w:cs="Times New Roman"/>
      <w:color w:val="000000"/>
      <w:sz w:val="22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321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1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styleId="a6">
    <w:name w:val="List Paragraph"/>
    <w:basedOn w:val="a"/>
    <w:link w:val="a7"/>
    <w:rsid w:val="00D55E2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0"/>
      <w:lang w:bidi="ar-SA"/>
    </w:rPr>
  </w:style>
  <w:style w:type="character" w:customStyle="1" w:styleId="a7">
    <w:name w:val="Абзац списка Знак"/>
    <w:basedOn w:val="a0"/>
    <w:link w:val="a6"/>
    <w:rsid w:val="00D55E25"/>
    <w:rPr>
      <w:rFonts w:ascii="Calibri" w:eastAsia="Times New Roman" w:hAnsi="Calibri" w:cs="Times New Roman"/>
      <w:color w:val="000000"/>
      <w:sz w:val="22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321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1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 Тырышкина</dc:creator>
  <cp:lastModifiedBy>Елена Александровна Боярская</cp:lastModifiedBy>
  <cp:revision>3</cp:revision>
  <cp:lastPrinted>2024-12-16T01:15:00Z</cp:lastPrinted>
  <dcterms:created xsi:type="dcterms:W3CDTF">2024-12-16T01:45:00Z</dcterms:created>
  <dcterms:modified xsi:type="dcterms:W3CDTF">2024-12-22T23:41:00Z</dcterms:modified>
</cp:coreProperties>
</file>